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8D08D" w:themeColor="accent6" w:themeTint="99"/>
  <w:body>
    <w:p w14:paraId="5CFD8DF3" w14:textId="2100D6B0" w:rsidR="00B96867" w:rsidRDefault="000A789C" w:rsidP="004A5C66">
      <w:pPr>
        <w:pStyle w:val="Heading3"/>
        <w:ind w:firstLine="720"/>
        <w:jc w:val="both"/>
        <w:rPr>
          <w:rFonts w:ascii="Eras Medium ITC" w:hAnsi="Eras Medium ITC" w:cs="Nirmala UI"/>
          <w:b/>
          <w:bCs/>
          <w:color w:val="385623" w:themeColor="accent6" w:themeShade="80"/>
          <w:sz w:val="40"/>
          <w:szCs w:val="40"/>
          <w:u w:val="single"/>
          <w:lang w:val="en-US"/>
        </w:rPr>
      </w:pPr>
      <w:r>
        <w:rPr>
          <w:rFonts w:ascii="Eras Medium ITC" w:hAnsi="Eras Medium ITC" w:cs="Nirmala UI"/>
          <w:b/>
          <w:bCs/>
          <w:color w:val="385623" w:themeColor="accent6" w:themeShade="80"/>
          <w:sz w:val="40"/>
          <w:szCs w:val="40"/>
          <w:u w:val="single"/>
          <w:lang w:val="en-US"/>
        </w:rPr>
        <w:t>TDS Rates for A.Y 2025-26 w.e.f. 01-04-2024</w:t>
      </w:r>
    </w:p>
    <w:p w14:paraId="2BAC4131" w14:textId="77777777" w:rsidR="00260C34" w:rsidRPr="00260C34" w:rsidRDefault="00260C34" w:rsidP="00260C3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89C" w14:paraId="72DC8D04" w14:textId="77777777" w:rsidTr="00260C34">
        <w:tc>
          <w:tcPr>
            <w:tcW w:w="7083" w:type="dxa"/>
          </w:tcPr>
          <w:p w14:paraId="5EAC8D4B" w14:textId="2CF6473D" w:rsidR="000A789C" w:rsidRPr="00260C34" w:rsidRDefault="000A789C" w:rsidP="000A789C">
            <w:pPr>
              <w:rPr>
                <w:rFonts w:ascii="Segoe UI" w:hAnsi="Segoe UI" w:cs="Segoe UI"/>
                <w:b/>
                <w:bCs/>
                <w:color w:val="262626" w:themeColor="text1" w:themeTint="D9"/>
                <w:sz w:val="24"/>
                <w:szCs w:val="24"/>
                <w:lang w:val="en-US"/>
              </w:rPr>
            </w:pPr>
            <w:r w:rsidRPr="00260C34">
              <w:rPr>
                <w:rFonts w:ascii="Segoe UI" w:hAnsi="Segoe UI" w:cs="Segoe UI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Particulars</w:t>
            </w:r>
          </w:p>
        </w:tc>
        <w:tc>
          <w:tcPr>
            <w:tcW w:w="1933" w:type="dxa"/>
          </w:tcPr>
          <w:p w14:paraId="1CB55076" w14:textId="39D0B075" w:rsidR="000A789C" w:rsidRPr="00260C34" w:rsidRDefault="000A789C" w:rsidP="000A789C">
            <w:pPr>
              <w:rPr>
                <w:rFonts w:ascii="Segoe UI" w:hAnsi="Segoe UI" w:cs="Segoe UI"/>
                <w:b/>
                <w:bCs/>
                <w:color w:val="262626" w:themeColor="text1" w:themeTint="D9"/>
                <w:sz w:val="24"/>
                <w:szCs w:val="24"/>
                <w:lang w:val="en-US"/>
              </w:rPr>
            </w:pPr>
            <w:r w:rsidRPr="00260C34">
              <w:rPr>
                <w:rFonts w:ascii="Segoe UI" w:hAnsi="Segoe UI" w:cs="Segoe UI"/>
                <w:b/>
                <w:bCs/>
                <w:color w:val="262626" w:themeColor="text1" w:themeTint="D9"/>
                <w:sz w:val="24"/>
                <w:szCs w:val="24"/>
                <w:lang w:val="en-US"/>
              </w:rPr>
              <w:t>TDS Rates (in%)</w:t>
            </w:r>
          </w:p>
        </w:tc>
      </w:tr>
      <w:tr w:rsidR="000A789C" w14:paraId="427D7F3F" w14:textId="77777777" w:rsidTr="00260C34">
        <w:tc>
          <w:tcPr>
            <w:tcW w:w="7083" w:type="dxa"/>
          </w:tcPr>
          <w:p w14:paraId="121ABD9B" w14:textId="1A838532" w:rsidR="000A789C" w:rsidRPr="00260C34" w:rsidRDefault="000A789C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Where the person is Resident of India</w:t>
            </w:r>
          </w:p>
        </w:tc>
        <w:tc>
          <w:tcPr>
            <w:tcW w:w="1933" w:type="dxa"/>
          </w:tcPr>
          <w:p w14:paraId="26E88D32" w14:textId="77777777" w:rsidR="000A789C" w:rsidRDefault="000A789C" w:rsidP="000A789C">
            <w:pPr>
              <w:rPr>
                <w:lang w:val="en-US"/>
              </w:rPr>
            </w:pPr>
          </w:p>
        </w:tc>
      </w:tr>
      <w:tr w:rsidR="000A789C" w14:paraId="3E169891" w14:textId="77777777" w:rsidTr="00260C34">
        <w:tc>
          <w:tcPr>
            <w:tcW w:w="7083" w:type="dxa"/>
          </w:tcPr>
          <w:p w14:paraId="638763AF" w14:textId="28501D9C" w:rsidR="000A789C" w:rsidRPr="00260C34" w:rsidRDefault="000A789C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Sec-192 Payment of salary</w:t>
            </w:r>
          </w:p>
        </w:tc>
        <w:tc>
          <w:tcPr>
            <w:tcW w:w="1933" w:type="dxa"/>
          </w:tcPr>
          <w:p w14:paraId="5C081B92" w14:textId="3F099BFA" w:rsidR="000A789C" w:rsidRPr="004A5C66" w:rsidRDefault="000A789C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Normal Slab Rate</w:t>
            </w:r>
          </w:p>
        </w:tc>
      </w:tr>
      <w:tr w:rsidR="000A789C" w14:paraId="5F361CBC" w14:textId="77777777" w:rsidTr="00260C34">
        <w:tc>
          <w:tcPr>
            <w:tcW w:w="7083" w:type="dxa"/>
          </w:tcPr>
          <w:p w14:paraId="03E7B511" w14:textId="016142A7" w:rsidR="000A789C" w:rsidRPr="00260C34" w:rsidRDefault="000A789C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Sec-192A Payment of accumulated balance of P.F</w:t>
            </w:r>
          </w:p>
        </w:tc>
        <w:tc>
          <w:tcPr>
            <w:tcW w:w="1933" w:type="dxa"/>
          </w:tcPr>
          <w:p w14:paraId="6B19FE1A" w14:textId="33C1725F" w:rsidR="000A789C" w:rsidRPr="004A5C66" w:rsidRDefault="000A789C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10</w:t>
            </w:r>
          </w:p>
        </w:tc>
      </w:tr>
      <w:tr w:rsidR="000A789C" w14:paraId="35D56D7E" w14:textId="77777777" w:rsidTr="00260C34">
        <w:tc>
          <w:tcPr>
            <w:tcW w:w="7083" w:type="dxa"/>
          </w:tcPr>
          <w:p w14:paraId="39F94AB7" w14:textId="79269E9F" w:rsidR="000A789C" w:rsidRPr="00260C34" w:rsidRDefault="000A789C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Sec-193 Interest on securities</w:t>
            </w:r>
          </w:p>
        </w:tc>
        <w:tc>
          <w:tcPr>
            <w:tcW w:w="1933" w:type="dxa"/>
          </w:tcPr>
          <w:p w14:paraId="2BB40FF8" w14:textId="7207D40B" w:rsidR="000A789C" w:rsidRPr="004A5C66" w:rsidRDefault="000A789C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10</w:t>
            </w:r>
          </w:p>
        </w:tc>
      </w:tr>
      <w:tr w:rsidR="000A789C" w14:paraId="43B0CCB8" w14:textId="77777777" w:rsidTr="00260C34">
        <w:tc>
          <w:tcPr>
            <w:tcW w:w="7083" w:type="dxa"/>
          </w:tcPr>
          <w:p w14:paraId="57D650CA" w14:textId="700CCEDF" w:rsidR="000A789C" w:rsidRPr="00260C34" w:rsidRDefault="000A789C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Sec-194 Dividend income</w:t>
            </w:r>
          </w:p>
        </w:tc>
        <w:tc>
          <w:tcPr>
            <w:tcW w:w="1933" w:type="dxa"/>
          </w:tcPr>
          <w:p w14:paraId="53E6434D" w14:textId="7B2EF862" w:rsidR="000A789C" w:rsidRPr="004A5C66" w:rsidRDefault="000A789C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10</w:t>
            </w:r>
          </w:p>
        </w:tc>
      </w:tr>
      <w:tr w:rsidR="000A789C" w14:paraId="08424221" w14:textId="77777777" w:rsidTr="00260C34">
        <w:tc>
          <w:tcPr>
            <w:tcW w:w="7083" w:type="dxa"/>
          </w:tcPr>
          <w:p w14:paraId="70AA9053" w14:textId="206A070C" w:rsidR="000A789C" w:rsidRPr="00260C34" w:rsidRDefault="000A789C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Sec-194A Income by way of interest other than interest on securities</w:t>
            </w:r>
          </w:p>
        </w:tc>
        <w:tc>
          <w:tcPr>
            <w:tcW w:w="1933" w:type="dxa"/>
          </w:tcPr>
          <w:p w14:paraId="5A6FA60E" w14:textId="0EC8CAF6" w:rsidR="000A789C" w:rsidRPr="004A5C66" w:rsidRDefault="000A789C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10</w:t>
            </w:r>
          </w:p>
        </w:tc>
      </w:tr>
      <w:tr w:rsidR="000A789C" w14:paraId="164DAB8D" w14:textId="77777777" w:rsidTr="00260C34">
        <w:tc>
          <w:tcPr>
            <w:tcW w:w="7083" w:type="dxa"/>
          </w:tcPr>
          <w:p w14:paraId="70EF93B3" w14:textId="4982FF97" w:rsidR="000A789C" w:rsidRPr="00260C34" w:rsidRDefault="002F0EC4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Sec-194B Income by way of winnings from lotteries, crossword puzzles, card games and other games</w:t>
            </w:r>
          </w:p>
        </w:tc>
        <w:tc>
          <w:tcPr>
            <w:tcW w:w="1933" w:type="dxa"/>
          </w:tcPr>
          <w:p w14:paraId="32021E35" w14:textId="697230C6" w:rsidR="000A789C" w:rsidRPr="004A5C66" w:rsidRDefault="002F0EC4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30</w:t>
            </w:r>
          </w:p>
        </w:tc>
      </w:tr>
      <w:tr w:rsidR="002F0EC4" w14:paraId="17F9C35B" w14:textId="77777777" w:rsidTr="00260C34">
        <w:tc>
          <w:tcPr>
            <w:tcW w:w="7083" w:type="dxa"/>
          </w:tcPr>
          <w:p w14:paraId="1D95C115" w14:textId="614898F1" w:rsidR="002F0EC4" w:rsidRPr="00260C34" w:rsidRDefault="002F0EC4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Sec-194BA Income by way of winnings form any online game</w:t>
            </w:r>
          </w:p>
        </w:tc>
        <w:tc>
          <w:tcPr>
            <w:tcW w:w="1933" w:type="dxa"/>
          </w:tcPr>
          <w:p w14:paraId="151D16A0" w14:textId="23849877" w:rsidR="002F0EC4" w:rsidRPr="004A5C66" w:rsidRDefault="002F0EC4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30</w:t>
            </w:r>
          </w:p>
        </w:tc>
      </w:tr>
      <w:tr w:rsidR="002F0EC4" w14:paraId="70C67334" w14:textId="77777777" w:rsidTr="00260C34">
        <w:tc>
          <w:tcPr>
            <w:tcW w:w="7083" w:type="dxa"/>
          </w:tcPr>
          <w:p w14:paraId="6AA3C1B1" w14:textId="08F5A61D" w:rsidR="002F0EC4" w:rsidRPr="00260C34" w:rsidRDefault="002F0EC4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Sec-194BB Income by way of winnings from horse races</w:t>
            </w:r>
          </w:p>
        </w:tc>
        <w:tc>
          <w:tcPr>
            <w:tcW w:w="1933" w:type="dxa"/>
          </w:tcPr>
          <w:p w14:paraId="274A8469" w14:textId="35F29C95" w:rsidR="002F0EC4" w:rsidRPr="004A5C66" w:rsidRDefault="002F0EC4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30</w:t>
            </w:r>
          </w:p>
        </w:tc>
      </w:tr>
      <w:tr w:rsidR="002F0EC4" w14:paraId="33897B97" w14:textId="77777777" w:rsidTr="00260C34">
        <w:tc>
          <w:tcPr>
            <w:tcW w:w="7083" w:type="dxa"/>
          </w:tcPr>
          <w:p w14:paraId="16CE298B" w14:textId="77777777" w:rsidR="002F0EC4" w:rsidRPr="00260C34" w:rsidRDefault="002F0EC4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Sec-194C Payment to Contractor/Sub-contractor</w:t>
            </w:r>
          </w:p>
          <w:p w14:paraId="38CE0020" w14:textId="77777777" w:rsidR="002F0EC4" w:rsidRPr="00260C34" w:rsidRDefault="002F0EC4" w:rsidP="002F0EC4">
            <w:pPr>
              <w:pStyle w:val="ListParagraph"/>
              <w:numPr>
                <w:ilvl w:val="0"/>
                <w:numId w:val="8"/>
              </w:num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HUF/Individuals</w:t>
            </w:r>
          </w:p>
          <w:p w14:paraId="3A01248B" w14:textId="4B7419D8" w:rsidR="002F0EC4" w:rsidRPr="00260C34" w:rsidRDefault="002F0EC4" w:rsidP="002F0EC4">
            <w:pPr>
              <w:pStyle w:val="ListParagraph"/>
              <w:numPr>
                <w:ilvl w:val="0"/>
                <w:numId w:val="8"/>
              </w:num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Others</w:t>
            </w:r>
          </w:p>
        </w:tc>
        <w:tc>
          <w:tcPr>
            <w:tcW w:w="1933" w:type="dxa"/>
          </w:tcPr>
          <w:p w14:paraId="6E6E48CC" w14:textId="77777777" w:rsidR="002F0EC4" w:rsidRPr="004A5C66" w:rsidRDefault="002F0EC4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</w:p>
          <w:p w14:paraId="05BDB30C" w14:textId="77777777" w:rsidR="002F0EC4" w:rsidRPr="004A5C66" w:rsidRDefault="002F0EC4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1</w:t>
            </w:r>
          </w:p>
          <w:p w14:paraId="58E3BAFE" w14:textId="598A74B4" w:rsidR="002F0EC4" w:rsidRPr="004A5C66" w:rsidRDefault="002F0EC4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2</w:t>
            </w:r>
          </w:p>
        </w:tc>
      </w:tr>
      <w:tr w:rsidR="002F0EC4" w14:paraId="086E7182" w14:textId="77777777" w:rsidTr="00260C34">
        <w:tc>
          <w:tcPr>
            <w:tcW w:w="7083" w:type="dxa"/>
          </w:tcPr>
          <w:p w14:paraId="5B773CB6" w14:textId="044E31CE" w:rsidR="002F0EC4" w:rsidRPr="00260C34" w:rsidRDefault="002F0EC4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Sec-194D Insurance Commission</w:t>
            </w:r>
          </w:p>
        </w:tc>
        <w:tc>
          <w:tcPr>
            <w:tcW w:w="1933" w:type="dxa"/>
          </w:tcPr>
          <w:p w14:paraId="0860E644" w14:textId="46D94C48" w:rsidR="002F0EC4" w:rsidRPr="004A5C66" w:rsidRDefault="002F0EC4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5</w:t>
            </w:r>
          </w:p>
        </w:tc>
      </w:tr>
      <w:tr w:rsidR="002F0EC4" w14:paraId="59818FD4" w14:textId="77777777" w:rsidTr="00260C34">
        <w:tc>
          <w:tcPr>
            <w:tcW w:w="7083" w:type="dxa"/>
          </w:tcPr>
          <w:p w14:paraId="141B04AA" w14:textId="7B51F9C6" w:rsidR="002F0EC4" w:rsidRPr="00260C34" w:rsidRDefault="002F0EC4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Sec-194DA Payment in respect of LIP w.e.f</w:t>
            </w:r>
            <w:r w:rsidR="00776B98" w:rsidRPr="00260C34">
              <w:rPr>
                <w:rFonts w:ascii="Eras Medium ITC" w:hAnsi="Eras Medium ITC"/>
                <w:lang w:val="en-US"/>
              </w:rPr>
              <w:t>.</w:t>
            </w:r>
            <w:r w:rsidRPr="00260C34">
              <w:rPr>
                <w:rFonts w:ascii="Eras Medium ITC" w:hAnsi="Eras Medium ITC"/>
                <w:lang w:val="en-US"/>
              </w:rPr>
              <w:t xml:space="preserve"> 01-09-19, the tax shall be deducted on the amt of income comprised in insurance pay-out</w:t>
            </w:r>
          </w:p>
        </w:tc>
        <w:tc>
          <w:tcPr>
            <w:tcW w:w="1933" w:type="dxa"/>
          </w:tcPr>
          <w:p w14:paraId="6B8E9F48" w14:textId="6937CEEA" w:rsidR="002F0EC4" w:rsidRPr="004A5C66" w:rsidRDefault="002F0EC4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5</w:t>
            </w:r>
          </w:p>
        </w:tc>
      </w:tr>
      <w:tr w:rsidR="002F0EC4" w14:paraId="25C60BDC" w14:textId="77777777" w:rsidTr="00260C34">
        <w:tc>
          <w:tcPr>
            <w:tcW w:w="7083" w:type="dxa"/>
          </w:tcPr>
          <w:p w14:paraId="314E44A0" w14:textId="57C4BE5C" w:rsidR="002F0EC4" w:rsidRPr="00260C34" w:rsidRDefault="002F0EC4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Sec-194EE: Payment in respect of deposit under National Savings Scheme</w:t>
            </w:r>
          </w:p>
        </w:tc>
        <w:tc>
          <w:tcPr>
            <w:tcW w:w="1933" w:type="dxa"/>
          </w:tcPr>
          <w:p w14:paraId="22AB6ECA" w14:textId="5B87E7A4" w:rsidR="002F0EC4" w:rsidRPr="004A5C66" w:rsidRDefault="002F0EC4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10</w:t>
            </w:r>
          </w:p>
        </w:tc>
      </w:tr>
      <w:tr w:rsidR="002F0EC4" w14:paraId="60E1A00F" w14:textId="77777777" w:rsidTr="00260C34">
        <w:tc>
          <w:tcPr>
            <w:tcW w:w="7083" w:type="dxa"/>
          </w:tcPr>
          <w:p w14:paraId="7E22E8B7" w14:textId="0775EE28" w:rsidR="002F0EC4" w:rsidRPr="00260C34" w:rsidRDefault="002F0EC4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Sec-194G Commission on sale of lottery tickets</w:t>
            </w:r>
          </w:p>
        </w:tc>
        <w:tc>
          <w:tcPr>
            <w:tcW w:w="1933" w:type="dxa"/>
          </w:tcPr>
          <w:p w14:paraId="1C46BD87" w14:textId="523E1D84" w:rsidR="002F0EC4" w:rsidRPr="004A5C66" w:rsidRDefault="002F0EC4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5</w:t>
            </w:r>
          </w:p>
        </w:tc>
      </w:tr>
      <w:tr w:rsidR="002F0EC4" w14:paraId="41B7DFF4" w14:textId="77777777" w:rsidTr="00260C34">
        <w:tc>
          <w:tcPr>
            <w:tcW w:w="7083" w:type="dxa"/>
          </w:tcPr>
          <w:p w14:paraId="448FB740" w14:textId="542727A9" w:rsidR="002F0EC4" w:rsidRPr="00260C34" w:rsidRDefault="002F0EC4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Sect-194H Commission or brokerage</w:t>
            </w:r>
          </w:p>
        </w:tc>
        <w:tc>
          <w:tcPr>
            <w:tcW w:w="1933" w:type="dxa"/>
          </w:tcPr>
          <w:p w14:paraId="5875FEAC" w14:textId="7D295635" w:rsidR="002F0EC4" w:rsidRPr="004A5C66" w:rsidRDefault="002F0EC4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5</w:t>
            </w:r>
          </w:p>
        </w:tc>
      </w:tr>
      <w:tr w:rsidR="002F0EC4" w14:paraId="2EBA01BF" w14:textId="77777777" w:rsidTr="00260C34">
        <w:tc>
          <w:tcPr>
            <w:tcW w:w="7083" w:type="dxa"/>
          </w:tcPr>
          <w:p w14:paraId="6C581CC6" w14:textId="77777777" w:rsidR="002F0EC4" w:rsidRPr="00260C34" w:rsidRDefault="002F0EC4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 xml:space="preserve">Sec-194I </w:t>
            </w:r>
            <w:r w:rsidR="00FE76E2" w:rsidRPr="00260C34">
              <w:rPr>
                <w:rFonts w:ascii="Eras Medium ITC" w:hAnsi="Eras Medium ITC"/>
                <w:lang w:val="en-US"/>
              </w:rPr>
              <w:t>Rent</w:t>
            </w:r>
          </w:p>
          <w:p w14:paraId="5C002EA7" w14:textId="77777777" w:rsidR="00FE76E2" w:rsidRPr="00260C34" w:rsidRDefault="00FE76E2" w:rsidP="00FE76E2">
            <w:pPr>
              <w:pStyle w:val="ListParagraph"/>
              <w:numPr>
                <w:ilvl w:val="0"/>
                <w:numId w:val="10"/>
              </w:num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Plant &amp; Machinery</w:t>
            </w:r>
          </w:p>
          <w:p w14:paraId="45553F2B" w14:textId="5A3B90D6" w:rsidR="00FE76E2" w:rsidRPr="00260C34" w:rsidRDefault="00FE76E2" w:rsidP="00FE76E2">
            <w:pPr>
              <w:pStyle w:val="ListParagraph"/>
              <w:numPr>
                <w:ilvl w:val="0"/>
                <w:numId w:val="10"/>
              </w:num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Others</w:t>
            </w:r>
          </w:p>
        </w:tc>
        <w:tc>
          <w:tcPr>
            <w:tcW w:w="1933" w:type="dxa"/>
          </w:tcPr>
          <w:p w14:paraId="3FC6DDA1" w14:textId="77777777" w:rsidR="00FE76E2" w:rsidRPr="004A5C66" w:rsidRDefault="00FE76E2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</w:p>
          <w:p w14:paraId="3B3027DA" w14:textId="111918CA" w:rsidR="002F0EC4" w:rsidRPr="004A5C66" w:rsidRDefault="00FE76E2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 xml:space="preserve">  2</w:t>
            </w:r>
          </w:p>
          <w:p w14:paraId="72652E9C" w14:textId="6BD1621A" w:rsidR="00FE76E2" w:rsidRPr="004A5C66" w:rsidRDefault="00FE76E2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10</w:t>
            </w:r>
          </w:p>
        </w:tc>
      </w:tr>
      <w:tr w:rsidR="00FE76E2" w14:paraId="366D768C" w14:textId="77777777" w:rsidTr="00260C34">
        <w:tc>
          <w:tcPr>
            <w:tcW w:w="7083" w:type="dxa"/>
          </w:tcPr>
          <w:p w14:paraId="651A8EDB" w14:textId="07631E6E" w:rsidR="00FE76E2" w:rsidRPr="00260C34" w:rsidRDefault="00776B98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Sec-194IB Payment of rent by Individual/HUF not liable for Tax Audit</w:t>
            </w:r>
          </w:p>
        </w:tc>
        <w:tc>
          <w:tcPr>
            <w:tcW w:w="1933" w:type="dxa"/>
          </w:tcPr>
          <w:p w14:paraId="46E76729" w14:textId="26DDCD86" w:rsidR="00FE76E2" w:rsidRPr="004A5C66" w:rsidRDefault="00776B98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05</w:t>
            </w:r>
          </w:p>
        </w:tc>
      </w:tr>
      <w:tr w:rsidR="00776B98" w14:paraId="4AB987F2" w14:textId="77777777" w:rsidTr="00260C34">
        <w:tc>
          <w:tcPr>
            <w:tcW w:w="7083" w:type="dxa"/>
          </w:tcPr>
          <w:p w14:paraId="26EEF2AE" w14:textId="3045B593" w:rsidR="00776B98" w:rsidRPr="00260C34" w:rsidRDefault="00BA7778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 xml:space="preserve">Sec-194J   </w:t>
            </w:r>
            <w:proofErr w:type="spellStart"/>
            <w:r w:rsidRPr="00260C34">
              <w:rPr>
                <w:rFonts w:ascii="Eras Medium ITC" w:hAnsi="Eras Medium ITC"/>
                <w:lang w:val="en-US"/>
              </w:rPr>
              <w:t>i</w:t>
            </w:r>
            <w:proofErr w:type="spellEnd"/>
            <w:r w:rsidRPr="00260C34">
              <w:rPr>
                <w:rFonts w:ascii="Eras Medium ITC" w:hAnsi="Eras Medium ITC"/>
                <w:lang w:val="en-US"/>
              </w:rPr>
              <w:t>) Fees for professional/Technical Services</w:t>
            </w:r>
          </w:p>
          <w:p w14:paraId="72FC1FC3" w14:textId="7C22D459" w:rsidR="00BA7778" w:rsidRPr="00260C34" w:rsidRDefault="00BA7778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 xml:space="preserve">                 ii) Sum paid/payable for royalty</w:t>
            </w:r>
          </w:p>
        </w:tc>
        <w:tc>
          <w:tcPr>
            <w:tcW w:w="1933" w:type="dxa"/>
          </w:tcPr>
          <w:p w14:paraId="20FB6577" w14:textId="77777777" w:rsidR="00776B98" w:rsidRPr="004A5C66" w:rsidRDefault="00776B98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</w:p>
          <w:p w14:paraId="4D5B82E6" w14:textId="5859DB4D" w:rsidR="00BA7778" w:rsidRPr="004A5C66" w:rsidRDefault="00BA7778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10</w:t>
            </w:r>
          </w:p>
        </w:tc>
      </w:tr>
      <w:tr w:rsidR="00BA7778" w14:paraId="78862756" w14:textId="77777777" w:rsidTr="00260C34">
        <w:tc>
          <w:tcPr>
            <w:tcW w:w="7083" w:type="dxa"/>
          </w:tcPr>
          <w:p w14:paraId="1C17CEED" w14:textId="4634AE17" w:rsidR="00BA7778" w:rsidRPr="00260C34" w:rsidRDefault="00BA7778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Sec-194M Payment of commission (not being insurance commission), brokerage, contractual fee, professional fee to resident by Individual/HUF who are not liable to deduct TDS under section 194C,194H,194J. When aggregate of sum during F.Y &gt;</w:t>
            </w:r>
            <w:r w:rsidRPr="00260C34">
              <w:rPr>
                <w:rFonts w:ascii="Arial" w:hAnsi="Arial" w:cs="Arial"/>
                <w:lang w:val="en-US"/>
              </w:rPr>
              <w:t>₹</w:t>
            </w:r>
            <w:r w:rsidRPr="00260C34">
              <w:rPr>
                <w:rFonts w:ascii="Eras Medium ITC" w:hAnsi="Eras Medium ITC"/>
                <w:lang w:val="en-US"/>
              </w:rPr>
              <w:t>50 L</w:t>
            </w:r>
          </w:p>
        </w:tc>
        <w:tc>
          <w:tcPr>
            <w:tcW w:w="1933" w:type="dxa"/>
          </w:tcPr>
          <w:p w14:paraId="2F266057" w14:textId="77777777" w:rsidR="00BA7778" w:rsidRPr="004A5C66" w:rsidRDefault="00BA7778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</w:p>
          <w:p w14:paraId="4361534C" w14:textId="77777777" w:rsidR="00BA7778" w:rsidRPr="004A5C66" w:rsidRDefault="00BA7778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</w:p>
          <w:p w14:paraId="386C7B51" w14:textId="77777777" w:rsidR="00BA7778" w:rsidRPr="004A5C66" w:rsidRDefault="00BA7778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</w:p>
          <w:p w14:paraId="586A13CB" w14:textId="34C39809" w:rsidR="00BA7778" w:rsidRPr="004A5C66" w:rsidRDefault="00BA7778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5</w:t>
            </w:r>
          </w:p>
        </w:tc>
      </w:tr>
      <w:tr w:rsidR="00633A24" w14:paraId="7E0FDBEC" w14:textId="77777777" w:rsidTr="00260C34">
        <w:tc>
          <w:tcPr>
            <w:tcW w:w="7083" w:type="dxa"/>
          </w:tcPr>
          <w:p w14:paraId="4B878C9A" w14:textId="77777777" w:rsidR="00633A24" w:rsidRPr="00260C34" w:rsidRDefault="00633A24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Sec-194N Cash withdrawal during the previous year form one or more account maintained by person with Banking co., Co-operative Society engaged in business of banking company engaged in business of banking or post office</w:t>
            </w:r>
          </w:p>
          <w:p w14:paraId="198C862A" w14:textId="18603FC7" w:rsidR="00633A24" w:rsidRPr="00260C34" w:rsidRDefault="00C20552" w:rsidP="00633A24">
            <w:pPr>
              <w:pStyle w:val="ListParagraph"/>
              <w:numPr>
                <w:ilvl w:val="0"/>
                <w:numId w:val="12"/>
              </w:num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more than</w:t>
            </w:r>
            <w:r w:rsidR="00633A24" w:rsidRPr="00260C34">
              <w:rPr>
                <w:rFonts w:ascii="Eras Medium ITC" w:hAnsi="Eras Medium ITC"/>
                <w:lang w:val="en-US"/>
              </w:rPr>
              <w:t xml:space="preserve"> </w:t>
            </w:r>
            <w:r w:rsidR="00633A24" w:rsidRPr="00260C34">
              <w:rPr>
                <w:rFonts w:ascii="Arial" w:hAnsi="Arial" w:cs="Arial"/>
                <w:lang w:val="en-US"/>
              </w:rPr>
              <w:t>₹</w:t>
            </w:r>
            <w:r w:rsidR="00633A24" w:rsidRPr="00260C34">
              <w:rPr>
                <w:rFonts w:ascii="Eras Medium ITC" w:hAnsi="Eras Medium ITC"/>
                <w:lang w:val="en-US"/>
              </w:rPr>
              <w:t>1 cr.</w:t>
            </w:r>
          </w:p>
          <w:p w14:paraId="62AB75B9" w14:textId="1CAF465A" w:rsidR="00633A24" w:rsidRPr="00260C34" w:rsidRDefault="00DC3A52" w:rsidP="00633A24">
            <w:pPr>
              <w:pStyle w:val="ListParagraph"/>
              <w:numPr>
                <w:ilvl w:val="0"/>
                <w:numId w:val="12"/>
              </w:num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 xml:space="preserve">If assessee has not filed ITR previous 3 years &amp; withdrawal </w:t>
            </w:r>
            <w:r w:rsidR="00C20552" w:rsidRPr="00260C34">
              <w:rPr>
                <w:rFonts w:ascii="Eras Medium ITC" w:hAnsi="Eras Medium ITC"/>
                <w:lang w:val="en-US"/>
              </w:rPr>
              <w:t>more than</w:t>
            </w:r>
            <w:r w:rsidR="00633A24" w:rsidRPr="00260C34">
              <w:rPr>
                <w:rFonts w:ascii="Eras Medium ITC" w:hAnsi="Eras Medium ITC"/>
                <w:lang w:val="en-US"/>
              </w:rPr>
              <w:t xml:space="preserve"> </w:t>
            </w:r>
            <w:r w:rsidR="00633A24" w:rsidRPr="00260C34">
              <w:rPr>
                <w:rFonts w:ascii="Arial" w:hAnsi="Arial" w:cs="Arial"/>
                <w:lang w:val="en-US"/>
              </w:rPr>
              <w:t>₹</w:t>
            </w:r>
            <w:r w:rsidR="00633A24" w:rsidRPr="00260C34">
              <w:rPr>
                <w:rFonts w:ascii="Eras Medium ITC" w:hAnsi="Eras Medium ITC"/>
                <w:lang w:val="en-US"/>
              </w:rPr>
              <w:t>20 lakhs</w:t>
            </w:r>
            <w:r w:rsidRPr="00260C34">
              <w:rPr>
                <w:rFonts w:ascii="Eras Medium ITC" w:hAnsi="Eras Medium ITC"/>
                <w:lang w:val="en-US"/>
              </w:rPr>
              <w:t xml:space="preserve"> to </w:t>
            </w:r>
            <w:r w:rsidRPr="00260C34">
              <w:rPr>
                <w:rFonts w:ascii="Arial" w:hAnsi="Arial" w:cs="Arial"/>
                <w:lang w:val="en-US"/>
              </w:rPr>
              <w:t>₹</w:t>
            </w:r>
            <w:r w:rsidRPr="00260C34">
              <w:rPr>
                <w:rFonts w:ascii="Eras Medium ITC" w:hAnsi="Eras Medium ITC"/>
                <w:lang w:val="en-US"/>
              </w:rPr>
              <w:t>1cr.</w:t>
            </w:r>
          </w:p>
          <w:p w14:paraId="678EEA4D" w14:textId="46E622C0" w:rsidR="00633A24" w:rsidRPr="00260C34" w:rsidRDefault="00633A24" w:rsidP="00DC3A52">
            <w:pPr>
              <w:pStyle w:val="ListParagraph"/>
              <w:ind w:left="1080"/>
              <w:rPr>
                <w:rFonts w:ascii="Eras Medium ITC" w:hAnsi="Eras Medium ITC"/>
                <w:lang w:val="en-US"/>
              </w:rPr>
            </w:pPr>
          </w:p>
        </w:tc>
        <w:tc>
          <w:tcPr>
            <w:tcW w:w="1933" w:type="dxa"/>
          </w:tcPr>
          <w:p w14:paraId="71979580" w14:textId="77777777" w:rsidR="00633A24" w:rsidRPr="004A5C66" w:rsidRDefault="00633A24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</w:p>
          <w:p w14:paraId="7D19A785" w14:textId="77777777" w:rsidR="00DC3A52" w:rsidRPr="004A5C66" w:rsidRDefault="00DC3A52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</w:p>
          <w:p w14:paraId="193C9346" w14:textId="77777777" w:rsidR="00DC3A52" w:rsidRPr="004A5C66" w:rsidRDefault="00DC3A52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</w:p>
          <w:p w14:paraId="45E56456" w14:textId="77777777" w:rsidR="00DC3A52" w:rsidRPr="004A5C66" w:rsidRDefault="00DC3A52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5</w:t>
            </w:r>
          </w:p>
          <w:p w14:paraId="1E55B992" w14:textId="77777777" w:rsidR="00DC3A52" w:rsidRPr="004A5C66" w:rsidRDefault="00DC3A52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</w:p>
          <w:p w14:paraId="70BF82F5" w14:textId="59BCCC49" w:rsidR="00DC3A52" w:rsidRPr="004A5C66" w:rsidRDefault="00DC3A52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2</w:t>
            </w:r>
          </w:p>
        </w:tc>
      </w:tr>
      <w:tr w:rsidR="00DC3A52" w14:paraId="75668796" w14:textId="77777777" w:rsidTr="00260C34">
        <w:tc>
          <w:tcPr>
            <w:tcW w:w="7083" w:type="dxa"/>
          </w:tcPr>
          <w:p w14:paraId="37E06F64" w14:textId="13119998" w:rsidR="00DC3A52" w:rsidRPr="00260C34" w:rsidRDefault="00DC3A52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 xml:space="preserve">Sec-194Q Payment for the purchase of goods of aggregate value exceeding </w:t>
            </w:r>
            <w:r w:rsidRPr="00260C34">
              <w:rPr>
                <w:rFonts w:ascii="Arial" w:hAnsi="Arial" w:cs="Arial"/>
                <w:lang w:val="en-US"/>
              </w:rPr>
              <w:t>₹</w:t>
            </w:r>
            <w:r w:rsidRPr="00260C34">
              <w:rPr>
                <w:rFonts w:ascii="Eras Medium ITC" w:hAnsi="Eras Medium ITC"/>
                <w:lang w:val="en-US"/>
              </w:rPr>
              <w:t>50L</w:t>
            </w:r>
          </w:p>
        </w:tc>
        <w:tc>
          <w:tcPr>
            <w:tcW w:w="1933" w:type="dxa"/>
          </w:tcPr>
          <w:p w14:paraId="381E1709" w14:textId="53D0F3DF" w:rsidR="00DC3A52" w:rsidRPr="004A5C66" w:rsidRDefault="00DC3A52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0.1</w:t>
            </w:r>
          </w:p>
        </w:tc>
      </w:tr>
      <w:tr w:rsidR="00C20552" w14:paraId="0031D7B2" w14:textId="77777777" w:rsidTr="00260C34">
        <w:tc>
          <w:tcPr>
            <w:tcW w:w="7083" w:type="dxa"/>
          </w:tcPr>
          <w:p w14:paraId="25915D41" w14:textId="77CA90FE" w:rsidR="00C20552" w:rsidRPr="00260C34" w:rsidRDefault="00C20552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lastRenderedPageBreak/>
              <w:t xml:space="preserve">Sec-194R Deduction of tax in case any benefit or perquisite is provided and aggregate value of such benefit exceeds </w:t>
            </w:r>
            <w:r w:rsidRPr="00260C34">
              <w:rPr>
                <w:rFonts w:ascii="Arial" w:hAnsi="Arial" w:cs="Arial"/>
                <w:lang w:val="en-US"/>
              </w:rPr>
              <w:t>₹</w:t>
            </w:r>
            <w:r w:rsidRPr="00260C34">
              <w:rPr>
                <w:rFonts w:ascii="Eras Medium ITC" w:hAnsi="Eras Medium ITC"/>
                <w:lang w:val="en-US"/>
              </w:rPr>
              <w:t xml:space="preserve"> 20,000</w:t>
            </w:r>
          </w:p>
        </w:tc>
        <w:tc>
          <w:tcPr>
            <w:tcW w:w="1933" w:type="dxa"/>
          </w:tcPr>
          <w:p w14:paraId="54B35E34" w14:textId="1A3647C7" w:rsidR="00C20552" w:rsidRPr="004A5C66" w:rsidRDefault="00C20552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10</w:t>
            </w:r>
          </w:p>
        </w:tc>
      </w:tr>
      <w:tr w:rsidR="00C20552" w14:paraId="4077066F" w14:textId="77777777" w:rsidTr="00260C34">
        <w:tc>
          <w:tcPr>
            <w:tcW w:w="7083" w:type="dxa"/>
          </w:tcPr>
          <w:p w14:paraId="69E04B63" w14:textId="437E3908" w:rsidR="00C20552" w:rsidRPr="00260C34" w:rsidRDefault="00C20552" w:rsidP="000A789C">
            <w:pPr>
              <w:rPr>
                <w:rFonts w:ascii="Eras Medium ITC" w:hAnsi="Eras Medium ITC"/>
                <w:lang w:val="en-US"/>
              </w:rPr>
            </w:pPr>
            <w:r w:rsidRPr="00260C34">
              <w:rPr>
                <w:rFonts w:ascii="Eras Medium ITC" w:hAnsi="Eras Medium ITC"/>
                <w:lang w:val="en-US"/>
              </w:rPr>
              <w:t>Sec-194S Payment on transfer of Virtual Digital Asset</w:t>
            </w:r>
          </w:p>
        </w:tc>
        <w:tc>
          <w:tcPr>
            <w:tcW w:w="1933" w:type="dxa"/>
          </w:tcPr>
          <w:p w14:paraId="5CB90162" w14:textId="5C5EB5FB" w:rsidR="00C20552" w:rsidRPr="004A5C66" w:rsidRDefault="00C20552" w:rsidP="000A789C">
            <w:pPr>
              <w:rPr>
                <w:rFonts w:ascii="Comic Sans MS" w:hAnsi="Comic Sans MS"/>
                <w:color w:val="171717" w:themeColor="background2" w:themeShade="1A"/>
                <w:lang w:val="en-US"/>
              </w:rPr>
            </w:pPr>
            <w:r w:rsidRPr="004A5C66">
              <w:rPr>
                <w:rFonts w:ascii="Comic Sans MS" w:hAnsi="Comic Sans MS"/>
                <w:color w:val="171717" w:themeColor="background2" w:themeShade="1A"/>
                <w:lang w:val="en-US"/>
              </w:rPr>
              <w:t>1</w:t>
            </w:r>
          </w:p>
        </w:tc>
      </w:tr>
    </w:tbl>
    <w:p w14:paraId="7AA094D1" w14:textId="77777777" w:rsidR="000A789C" w:rsidRPr="000A789C" w:rsidRDefault="000A789C" w:rsidP="000A789C">
      <w:pPr>
        <w:rPr>
          <w:lang w:val="en-US"/>
        </w:rPr>
      </w:pPr>
    </w:p>
    <w:p w14:paraId="2FEBDE38" w14:textId="67A403F8" w:rsidR="00A630E6" w:rsidRPr="00DC2E1E" w:rsidRDefault="003C0B13" w:rsidP="0082258A">
      <w:pPr>
        <w:jc w:val="both"/>
        <w:rPr>
          <w:rFonts w:ascii="Britannic Bold" w:hAnsi="Britannic Bold"/>
          <w:color w:val="222A35" w:themeColor="text2" w:themeShade="80"/>
          <w:sz w:val="24"/>
          <w:szCs w:val="24"/>
          <w:lang w:val="en-US"/>
        </w:rPr>
      </w:pPr>
      <w:r w:rsidRPr="0082258A">
        <w:rPr>
          <w:noProof/>
          <w:color w:val="2F5496" w:themeColor="accent1" w:themeShade="BF"/>
          <w:sz w:val="24"/>
          <w:szCs w:val="24"/>
          <w:lang w:val="en-US"/>
        </w:rPr>
        <w:drawing>
          <wp:inline distT="0" distB="0" distL="0" distR="0" wp14:anchorId="0036E568" wp14:editId="749E498B">
            <wp:extent cx="861060" cy="8080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311" cy="81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4E1" w:rsidRPr="0082258A">
        <w:rPr>
          <w:rFonts w:ascii="Britannic Bold" w:hAnsi="Britannic Bold"/>
          <w:color w:val="000000" w:themeColor="text1"/>
          <w:sz w:val="24"/>
          <w:szCs w:val="24"/>
          <w:lang w:val="en-US"/>
        </w:rPr>
        <w:tab/>
      </w:r>
      <w:r w:rsidR="004F72E6" w:rsidRPr="0082258A">
        <w:rPr>
          <w:rFonts w:ascii="Britannic Bold" w:hAnsi="Britannic Bold"/>
          <w:color w:val="000000" w:themeColor="text1"/>
          <w:sz w:val="24"/>
          <w:szCs w:val="24"/>
          <w:lang w:val="en-US"/>
        </w:rPr>
        <w:tab/>
      </w:r>
      <w:r w:rsidR="004F72E6" w:rsidRPr="0082258A">
        <w:rPr>
          <w:rFonts w:ascii="Britannic Bold" w:hAnsi="Britannic Bold"/>
          <w:color w:val="000000" w:themeColor="text1"/>
          <w:sz w:val="24"/>
          <w:szCs w:val="24"/>
          <w:lang w:val="en-US"/>
        </w:rPr>
        <w:tab/>
      </w:r>
      <w:r w:rsidR="004F72E6" w:rsidRPr="0082258A">
        <w:rPr>
          <w:rFonts w:ascii="Britannic Bold" w:hAnsi="Britannic Bold"/>
          <w:color w:val="000000" w:themeColor="text1"/>
          <w:sz w:val="24"/>
          <w:szCs w:val="24"/>
          <w:lang w:val="en-US"/>
        </w:rPr>
        <w:tab/>
      </w:r>
      <w:r w:rsidR="0082258A" w:rsidRPr="0082258A">
        <w:rPr>
          <w:rFonts w:ascii="Britannic Bold" w:hAnsi="Britannic Bold"/>
          <w:color w:val="000000" w:themeColor="text1"/>
          <w:sz w:val="24"/>
          <w:szCs w:val="24"/>
          <w:lang w:val="en-US"/>
        </w:rPr>
        <w:tab/>
      </w:r>
      <w:r w:rsidR="00A630E6" w:rsidRPr="00DC2E1E">
        <w:rPr>
          <w:rFonts w:ascii="Comic Sans MS" w:hAnsi="Comic Sans MS"/>
          <w:color w:val="222A35" w:themeColor="text2" w:themeShade="80"/>
          <w:sz w:val="24"/>
          <w:szCs w:val="24"/>
          <w:lang w:val="en-US"/>
        </w:rPr>
        <w:t>For any assistance</w:t>
      </w:r>
    </w:p>
    <w:p w14:paraId="0AA9180C" w14:textId="5DA01AC1" w:rsidR="00B63724" w:rsidRPr="00DC2E1E" w:rsidRDefault="00EF2510" w:rsidP="004F72E6">
      <w:pPr>
        <w:ind w:left="3600" w:firstLine="720"/>
        <w:jc w:val="both"/>
        <w:rPr>
          <w:rFonts w:ascii="Ink Free" w:hAnsi="Ink Free"/>
          <w:color w:val="222A35" w:themeColor="text2" w:themeShade="80"/>
          <w:sz w:val="24"/>
          <w:szCs w:val="24"/>
          <w:lang w:val="en-US"/>
        </w:rPr>
      </w:pPr>
      <w:r w:rsidRPr="00DC2E1E">
        <w:rPr>
          <w:rFonts w:ascii="Britannic Bold" w:hAnsi="Britannic Bold"/>
          <w:color w:val="222A35" w:themeColor="text2" w:themeShade="80"/>
          <w:sz w:val="24"/>
          <w:szCs w:val="24"/>
          <w:lang w:val="en-US"/>
        </w:rPr>
        <w:t>Website</w:t>
      </w:r>
      <w:r w:rsidRPr="00DC2E1E">
        <w:rPr>
          <w:color w:val="222A35" w:themeColor="text2" w:themeShade="80"/>
          <w:sz w:val="24"/>
          <w:szCs w:val="24"/>
          <w:lang w:val="en-US"/>
        </w:rPr>
        <w:t>:</w:t>
      </w:r>
      <w:r w:rsidR="004F72E6" w:rsidRPr="00DC2E1E">
        <w:rPr>
          <w:color w:val="222A35" w:themeColor="text2" w:themeShade="80"/>
          <w:sz w:val="24"/>
          <w:szCs w:val="24"/>
          <w:lang w:val="en-US"/>
        </w:rPr>
        <w:t xml:space="preserve"> </w:t>
      </w:r>
      <w:hyperlink r:id="rId9" w:history="1">
        <w:r w:rsidR="004F72E6" w:rsidRPr="00DC2E1E">
          <w:rPr>
            <w:rStyle w:val="Hyperlink"/>
            <w:rFonts w:ascii="Comic Sans MS" w:hAnsi="Comic Sans MS" w:cs="Segoe UI Semibold"/>
            <w:color w:val="222A35" w:themeColor="text2" w:themeShade="80"/>
            <w:sz w:val="24"/>
            <w:szCs w:val="24"/>
            <w:lang w:val="en-US"/>
          </w:rPr>
          <w:t>www.charteredlab.com</w:t>
        </w:r>
      </w:hyperlink>
    </w:p>
    <w:p w14:paraId="204B7FC7" w14:textId="343C60F5" w:rsidR="00E80383" w:rsidRPr="0082258A" w:rsidRDefault="00712EF4" w:rsidP="005E78CF">
      <w:pPr>
        <w:pStyle w:val="NoSpacing"/>
        <w:rPr>
          <w:rFonts w:ascii="Comic Sans MS" w:hAnsi="Comic Sans MS"/>
          <w:color w:val="000000" w:themeColor="text1"/>
          <w:sz w:val="24"/>
          <w:szCs w:val="24"/>
          <w:lang w:val="en-US"/>
        </w:rPr>
      </w:pPr>
      <w:r w:rsidRPr="00DC2E1E">
        <w:rPr>
          <w:color w:val="222A35" w:themeColor="text2" w:themeShade="80"/>
          <w:sz w:val="24"/>
          <w:szCs w:val="24"/>
          <w:lang w:val="en-US"/>
        </w:rPr>
        <w:tab/>
      </w:r>
      <w:r w:rsidRPr="00DC2E1E">
        <w:rPr>
          <w:color w:val="222A35" w:themeColor="text2" w:themeShade="80"/>
          <w:sz w:val="24"/>
          <w:szCs w:val="24"/>
          <w:lang w:val="en-US"/>
        </w:rPr>
        <w:tab/>
      </w:r>
      <w:r w:rsidRPr="00DC2E1E">
        <w:rPr>
          <w:color w:val="222A35" w:themeColor="text2" w:themeShade="80"/>
          <w:sz w:val="24"/>
          <w:szCs w:val="24"/>
          <w:lang w:val="en-US"/>
        </w:rPr>
        <w:tab/>
      </w:r>
      <w:r w:rsidRPr="00DC2E1E">
        <w:rPr>
          <w:color w:val="222A35" w:themeColor="text2" w:themeShade="80"/>
          <w:sz w:val="24"/>
          <w:szCs w:val="24"/>
          <w:lang w:val="en-US"/>
        </w:rPr>
        <w:tab/>
      </w:r>
      <w:r w:rsidRPr="00DC2E1E">
        <w:rPr>
          <w:color w:val="222A35" w:themeColor="text2" w:themeShade="80"/>
          <w:sz w:val="24"/>
          <w:szCs w:val="24"/>
          <w:lang w:val="en-US"/>
        </w:rPr>
        <w:tab/>
      </w:r>
      <w:r w:rsidRPr="00DC2E1E">
        <w:rPr>
          <w:color w:val="222A35" w:themeColor="text2" w:themeShade="80"/>
          <w:sz w:val="24"/>
          <w:szCs w:val="24"/>
          <w:lang w:val="en-US"/>
        </w:rPr>
        <w:tab/>
      </w:r>
      <w:r w:rsidRPr="0082258A">
        <w:rPr>
          <w:color w:val="000000" w:themeColor="text1"/>
          <w:sz w:val="24"/>
          <w:szCs w:val="24"/>
          <w:lang w:val="en-US"/>
        </w:rPr>
        <w:tab/>
      </w:r>
      <w:r w:rsidRPr="0082258A">
        <w:rPr>
          <w:color w:val="000000" w:themeColor="text1"/>
          <w:sz w:val="24"/>
          <w:szCs w:val="24"/>
          <w:lang w:val="en-US"/>
        </w:rPr>
        <w:tab/>
      </w:r>
      <w:r w:rsidR="00B63724" w:rsidRPr="0082258A">
        <w:rPr>
          <w:rFonts w:ascii="Comic Sans MS" w:hAnsi="Comic Sans MS"/>
          <w:color w:val="000000" w:themeColor="text1"/>
          <w:sz w:val="24"/>
          <w:szCs w:val="24"/>
          <w:lang w:val="en-US"/>
        </w:rPr>
        <w:t>Follow us on social media</w:t>
      </w:r>
    </w:p>
    <w:p w14:paraId="2F5FB63D" w14:textId="248F6008" w:rsidR="008F71CD" w:rsidRPr="0082258A" w:rsidRDefault="007A3998" w:rsidP="00A630E6">
      <w:pPr>
        <w:pStyle w:val="NoSpacing"/>
        <w:ind w:left="4320" w:firstLine="720"/>
        <w:rPr>
          <w:color w:val="002060"/>
          <w:sz w:val="24"/>
          <w:szCs w:val="24"/>
          <w:lang w:val="en-US"/>
        </w:rPr>
      </w:pPr>
      <w:r w:rsidRPr="0082258A">
        <w:rPr>
          <w:noProof/>
          <w:color w:val="002060"/>
          <w:sz w:val="24"/>
          <w:szCs w:val="24"/>
          <w:lang w:val="en-US"/>
        </w:rPr>
        <w:drawing>
          <wp:inline distT="0" distB="0" distL="0" distR="0" wp14:anchorId="6B958CD1" wp14:editId="478519BE">
            <wp:extent cx="340936" cy="4191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52" cy="43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3724" w:rsidRPr="0082258A">
        <w:rPr>
          <w:color w:val="002060"/>
          <w:sz w:val="24"/>
          <w:szCs w:val="24"/>
          <w:lang w:val="en-US"/>
        </w:rPr>
        <w:t xml:space="preserve"> </w:t>
      </w:r>
      <w:r w:rsidRPr="0082258A">
        <w:rPr>
          <w:noProof/>
          <w:color w:val="002060"/>
          <w:sz w:val="24"/>
          <w:szCs w:val="24"/>
          <w:lang w:val="en-US"/>
        </w:rPr>
        <w:drawing>
          <wp:inline distT="0" distB="0" distL="0" distR="0" wp14:anchorId="4F6527A1" wp14:editId="2B03046E">
            <wp:extent cx="390525" cy="409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7" cy="40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0E6" w:rsidRPr="0082258A">
        <w:rPr>
          <w:noProof/>
          <w:color w:val="002060"/>
          <w:sz w:val="24"/>
          <w:szCs w:val="24"/>
          <w:lang w:val="en-US"/>
        </w:rPr>
        <w:drawing>
          <wp:inline distT="0" distB="0" distL="0" distR="0" wp14:anchorId="00E43079" wp14:editId="504FFBD9">
            <wp:extent cx="349608" cy="415940"/>
            <wp:effectExtent l="0" t="0" r="0" b="3175"/>
            <wp:docPr id="1030998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98503" name="Picture 103099850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29" cy="43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0E6" w:rsidRPr="0082258A">
        <w:rPr>
          <w:color w:val="002060"/>
          <w:sz w:val="24"/>
          <w:szCs w:val="24"/>
          <w:lang w:val="en-US"/>
        </w:rPr>
        <w:t xml:space="preserve"> </w:t>
      </w:r>
      <w:r w:rsidR="00E80383" w:rsidRPr="0082258A">
        <w:rPr>
          <w:color w:val="002060"/>
          <w:sz w:val="24"/>
          <w:szCs w:val="24"/>
          <w:lang w:val="en-US"/>
        </w:rPr>
        <w:t>@charteredlab</w:t>
      </w:r>
    </w:p>
    <w:p w14:paraId="6ED1DCEF" w14:textId="77777777" w:rsidR="002354FB" w:rsidRDefault="002354FB" w:rsidP="00E80383">
      <w:pPr>
        <w:pStyle w:val="NoSpacing"/>
        <w:ind w:left="2160"/>
        <w:rPr>
          <w:color w:val="002060"/>
          <w:sz w:val="24"/>
          <w:szCs w:val="24"/>
          <w:lang w:val="en-US"/>
        </w:rPr>
      </w:pPr>
    </w:p>
    <w:p w14:paraId="06AE04D0" w14:textId="77777777" w:rsidR="00857B62" w:rsidRPr="0082258A" w:rsidRDefault="00857B62" w:rsidP="00E80383">
      <w:pPr>
        <w:pStyle w:val="NoSpacing"/>
        <w:ind w:left="2160"/>
        <w:rPr>
          <w:color w:val="002060"/>
          <w:sz w:val="24"/>
          <w:szCs w:val="24"/>
          <w:lang w:val="en-US"/>
        </w:rPr>
      </w:pPr>
    </w:p>
    <w:p w14:paraId="6FBE5FED" w14:textId="77777777" w:rsidR="0085342B" w:rsidRDefault="0085342B" w:rsidP="00E80383">
      <w:pPr>
        <w:pStyle w:val="NoSpacing"/>
        <w:ind w:left="2160"/>
        <w:rPr>
          <w:color w:val="002060"/>
          <w:lang w:val="en-US"/>
        </w:rPr>
      </w:pPr>
    </w:p>
    <w:p w14:paraId="5A2F9C67" w14:textId="77777777" w:rsidR="003D74E1" w:rsidRDefault="003D74E1" w:rsidP="00E80383">
      <w:pPr>
        <w:pStyle w:val="NoSpacing"/>
        <w:ind w:left="2160"/>
        <w:rPr>
          <w:color w:val="002060"/>
          <w:lang w:val="en-US"/>
        </w:rPr>
      </w:pPr>
    </w:p>
    <w:p w14:paraId="5798B5FB" w14:textId="77777777" w:rsidR="0085342B" w:rsidRDefault="0085342B" w:rsidP="00E80383">
      <w:pPr>
        <w:pStyle w:val="NoSpacing"/>
        <w:ind w:left="2160"/>
        <w:rPr>
          <w:color w:val="002060"/>
          <w:lang w:val="en-US"/>
        </w:rPr>
      </w:pPr>
    </w:p>
    <w:p w14:paraId="08B3D9F1" w14:textId="77777777" w:rsidR="0085342B" w:rsidRDefault="0085342B" w:rsidP="00E80383">
      <w:pPr>
        <w:pStyle w:val="NoSpacing"/>
        <w:ind w:left="2160"/>
        <w:rPr>
          <w:color w:val="002060"/>
          <w:lang w:val="en-US"/>
        </w:rPr>
      </w:pPr>
    </w:p>
    <w:p w14:paraId="405693E7" w14:textId="77777777" w:rsidR="0085342B" w:rsidRDefault="0085342B" w:rsidP="00E80383">
      <w:pPr>
        <w:pStyle w:val="NoSpacing"/>
        <w:ind w:left="2160"/>
        <w:rPr>
          <w:color w:val="002060"/>
          <w:lang w:val="en-US"/>
        </w:rPr>
      </w:pPr>
    </w:p>
    <w:p w14:paraId="2167979A" w14:textId="77777777" w:rsidR="0085342B" w:rsidRDefault="0085342B" w:rsidP="00E80383">
      <w:pPr>
        <w:pStyle w:val="NoSpacing"/>
        <w:ind w:left="2160"/>
        <w:rPr>
          <w:color w:val="002060"/>
          <w:lang w:val="en-US"/>
        </w:rPr>
      </w:pPr>
    </w:p>
    <w:p w14:paraId="4EE51F9A" w14:textId="77777777" w:rsidR="002354FB" w:rsidRDefault="002354FB" w:rsidP="00E80383">
      <w:pPr>
        <w:pStyle w:val="NoSpacing"/>
        <w:ind w:left="2160"/>
        <w:rPr>
          <w:color w:val="002060"/>
          <w:lang w:val="en-US"/>
        </w:rPr>
      </w:pPr>
    </w:p>
    <w:p w14:paraId="5D793CF5" w14:textId="77777777" w:rsidR="000F4C8B" w:rsidRDefault="000F4C8B" w:rsidP="00E80383">
      <w:pPr>
        <w:pStyle w:val="NoSpacing"/>
        <w:ind w:left="2160"/>
        <w:rPr>
          <w:color w:val="002060"/>
          <w:lang w:val="en-US"/>
        </w:rPr>
      </w:pPr>
    </w:p>
    <w:p w14:paraId="75C7DD1D" w14:textId="77777777" w:rsidR="001716BC" w:rsidRDefault="001716BC" w:rsidP="00E80383">
      <w:pPr>
        <w:pStyle w:val="NoSpacing"/>
        <w:ind w:left="2160"/>
        <w:rPr>
          <w:color w:val="002060"/>
          <w:lang w:val="en-US"/>
        </w:rPr>
      </w:pPr>
    </w:p>
    <w:sectPr w:rsidR="001716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1CB0" w14:textId="77777777" w:rsidR="00B47DD7" w:rsidRDefault="00B47DD7" w:rsidP="00595D5A">
      <w:pPr>
        <w:spacing w:after="0" w:line="240" w:lineRule="auto"/>
      </w:pPr>
      <w:r>
        <w:separator/>
      </w:r>
    </w:p>
  </w:endnote>
  <w:endnote w:type="continuationSeparator" w:id="0">
    <w:p w14:paraId="7DD868CA" w14:textId="77777777" w:rsidR="00B47DD7" w:rsidRDefault="00B47DD7" w:rsidP="0059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BF81" w14:textId="77777777" w:rsidR="00E80383" w:rsidRDefault="00E80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EF3F" w14:textId="3172FD1E" w:rsidR="00125AA3" w:rsidRDefault="00125AA3" w:rsidP="00125AA3">
    <w:pPr>
      <w:pStyle w:val="Footer"/>
      <w:tabs>
        <w:tab w:val="clear" w:pos="4513"/>
        <w:tab w:val="clear" w:pos="9026"/>
        <w:tab w:val="left" w:pos="21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6782" w14:textId="77777777" w:rsidR="00E80383" w:rsidRDefault="00E80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8D3A" w14:textId="77777777" w:rsidR="00B47DD7" w:rsidRDefault="00B47DD7" w:rsidP="00595D5A">
      <w:pPr>
        <w:spacing w:after="0" w:line="240" w:lineRule="auto"/>
      </w:pPr>
      <w:r>
        <w:separator/>
      </w:r>
    </w:p>
  </w:footnote>
  <w:footnote w:type="continuationSeparator" w:id="0">
    <w:p w14:paraId="0CE6D8F0" w14:textId="77777777" w:rsidR="00B47DD7" w:rsidRDefault="00B47DD7" w:rsidP="0059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20B3" w14:textId="3487EC23" w:rsidR="006553CA" w:rsidRDefault="00000000">
    <w:pPr>
      <w:pStyle w:val="Header"/>
    </w:pPr>
    <w:r>
      <w:rPr>
        <w:noProof/>
      </w:rPr>
      <w:pict w14:anchorId="7806B6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79063" o:spid="_x0000_s1026" type="#_x0000_t136" style="position:absolute;margin-left:0;margin-top:0;width:472.5pt;height:98.25pt;rotation:315;z-index:-251655168;mso-position-horizontal:center;mso-position-horizontal-relative:margin;mso-position-vertical:center;mso-position-vertical-relative:margin" o:allowincell="f" fillcolor="#538135 [2409]" stroked="f">
          <v:fill opacity=".5"/>
          <v:textpath style="font-family:&quot;Corbel&quot;;font-size:80pt" string="Chartered La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3596" w14:textId="32B1B7DF" w:rsidR="00595D5A" w:rsidRDefault="00000000">
    <w:pPr>
      <w:pStyle w:val="Header"/>
    </w:pPr>
    <w:r>
      <w:rPr>
        <w:noProof/>
      </w:rPr>
      <w:pict w14:anchorId="6B2F44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79064" o:spid="_x0000_s1027" type="#_x0000_t136" style="position:absolute;margin-left:0;margin-top:0;width:472.5pt;height:98.25pt;rotation:315;z-index:-251653120;mso-position-horizontal:center;mso-position-horizontal-relative:margin;mso-position-vertical:center;mso-position-vertical-relative:margin" o:allowincell="f" fillcolor="#538135 [2409]" stroked="f">
          <v:fill opacity=".5"/>
          <v:textpath style="font-family:&quot;Corbel&quot;;font-size:80pt" string="Chartered La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4367" w14:textId="4414E6B3" w:rsidR="006553CA" w:rsidRDefault="00000000">
    <w:pPr>
      <w:pStyle w:val="Header"/>
    </w:pPr>
    <w:r>
      <w:rPr>
        <w:noProof/>
      </w:rPr>
      <w:pict w14:anchorId="375B49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779062" o:spid="_x0000_s1025" type="#_x0000_t136" style="position:absolute;margin-left:0;margin-top:0;width:472.5pt;height:98.25pt;rotation:315;z-index:-251657216;mso-position-horizontal:center;mso-position-horizontal-relative:margin;mso-position-vertical:center;mso-position-vertical-relative:margin" o:allowincell="f" fillcolor="#538135 [2409]" stroked="f">
          <v:fill opacity=".5"/>
          <v:textpath style="font-family:&quot;Corbel&quot;;font-size:80pt" string="Chartered La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37AE"/>
    <w:multiLevelType w:val="hybridMultilevel"/>
    <w:tmpl w:val="69763C84"/>
    <w:lvl w:ilvl="0" w:tplc="515CCB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934AD"/>
    <w:multiLevelType w:val="hybridMultilevel"/>
    <w:tmpl w:val="8B26B080"/>
    <w:lvl w:ilvl="0" w:tplc="5BF640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306FA"/>
    <w:multiLevelType w:val="hybridMultilevel"/>
    <w:tmpl w:val="B1DE1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32B8E"/>
    <w:multiLevelType w:val="hybridMultilevel"/>
    <w:tmpl w:val="806EA436"/>
    <w:lvl w:ilvl="0" w:tplc="08724C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10371"/>
    <w:multiLevelType w:val="hybridMultilevel"/>
    <w:tmpl w:val="8BCEE5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E7303A"/>
    <w:multiLevelType w:val="hybridMultilevel"/>
    <w:tmpl w:val="C27476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174B03"/>
    <w:multiLevelType w:val="hybridMultilevel"/>
    <w:tmpl w:val="069E3B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94ADE"/>
    <w:multiLevelType w:val="hybridMultilevel"/>
    <w:tmpl w:val="BBF061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E5BE6"/>
    <w:multiLevelType w:val="hybridMultilevel"/>
    <w:tmpl w:val="E63E761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37C5D"/>
    <w:multiLevelType w:val="hybridMultilevel"/>
    <w:tmpl w:val="865257C2"/>
    <w:lvl w:ilvl="0" w:tplc="77800AF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9383798"/>
    <w:multiLevelType w:val="hybridMultilevel"/>
    <w:tmpl w:val="F59050BC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DEE6D25"/>
    <w:multiLevelType w:val="hybridMultilevel"/>
    <w:tmpl w:val="36AA81B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08558">
    <w:abstractNumId w:val="7"/>
  </w:num>
  <w:num w:numId="2" w16cid:durableId="1205870244">
    <w:abstractNumId w:val="6"/>
  </w:num>
  <w:num w:numId="3" w16cid:durableId="224488883">
    <w:abstractNumId w:val="2"/>
  </w:num>
  <w:num w:numId="4" w16cid:durableId="1321733716">
    <w:abstractNumId w:val="4"/>
  </w:num>
  <w:num w:numId="5" w16cid:durableId="458718721">
    <w:abstractNumId w:val="5"/>
  </w:num>
  <w:num w:numId="6" w16cid:durableId="232619643">
    <w:abstractNumId w:val="10"/>
  </w:num>
  <w:num w:numId="7" w16cid:durableId="1951936334">
    <w:abstractNumId w:val="3"/>
  </w:num>
  <w:num w:numId="8" w16cid:durableId="1757901973">
    <w:abstractNumId w:val="9"/>
  </w:num>
  <w:num w:numId="9" w16cid:durableId="215240519">
    <w:abstractNumId w:val="11"/>
  </w:num>
  <w:num w:numId="10" w16cid:durableId="691031081">
    <w:abstractNumId w:val="8"/>
  </w:num>
  <w:num w:numId="11" w16cid:durableId="1962954647">
    <w:abstractNumId w:val="0"/>
  </w:num>
  <w:num w:numId="12" w16cid:durableId="88568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B3"/>
    <w:rsid w:val="000720D9"/>
    <w:rsid w:val="00077A31"/>
    <w:rsid w:val="000A789C"/>
    <w:rsid w:val="000B5F5A"/>
    <w:rsid w:val="000C565C"/>
    <w:rsid w:val="000F4C8B"/>
    <w:rsid w:val="001255AE"/>
    <w:rsid w:val="00125AA3"/>
    <w:rsid w:val="00143FF3"/>
    <w:rsid w:val="001716BC"/>
    <w:rsid w:val="00177607"/>
    <w:rsid w:val="001D7773"/>
    <w:rsid w:val="001F3D3D"/>
    <w:rsid w:val="0023400F"/>
    <w:rsid w:val="002354FB"/>
    <w:rsid w:val="002505B3"/>
    <w:rsid w:val="00260C34"/>
    <w:rsid w:val="0026680C"/>
    <w:rsid w:val="002F0EC4"/>
    <w:rsid w:val="002F2FA6"/>
    <w:rsid w:val="00314673"/>
    <w:rsid w:val="00327983"/>
    <w:rsid w:val="00347EE7"/>
    <w:rsid w:val="003857B3"/>
    <w:rsid w:val="003B6254"/>
    <w:rsid w:val="003C0B13"/>
    <w:rsid w:val="003D74E1"/>
    <w:rsid w:val="003E377C"/>
    <w:rsid w:val="0040641E"/>
    <w:rsid w:val="00441473"/>
    <w:rsid w:val="00446408"/>
    <w:rsid w:val="00472366"/>
    <w:rsid w:val="00477FE3"/>
    <w:rsid w:val="004A5C66"/>
    <w:rsid w:val="004F338A"/>
    <w:rsid w:val="004F72E6"/>
    <w:rsid w:val="004F7A09"/>
    <w:rsid w:val="005028C6"/>
    <w:rsid w:val="00512565"/>
    <w:rsid w:val="005277AA"/>
    <w:rsid w:val="00535316"/>
    <w:rsid w:val="00550295"/>
    <w:rsid w:val="00565D96"/>
    <w:rsid w:val="005754F1"/>
    <w:rsid w:val="00595D5A"/>
    <w:rsid w:val="005B10E9"/>
    <w:rsid w:val="005B2181"/>
    <w:rsid w:val="005D557C"/>
    <w:rsid w:val="005E2180"/>
    <w:rsid w:val="005E78CF"/>
    <w:rsid w:val="0062067B"/>
    <w:rsid w:val="00633A24"/>
    <w:rsid w:val="006351C4"/>
    <w:rsid w:val="006553CA"/>
    <w:rsid w:val="00655529"/>
    <w:rsid w:val="00666BDB"/>
    <w:rsid w:val="00683A71"/>
    <w:rsid w:val="006B4AC2"/>
    <w:rsid w:val="00703AE4"/>
    <w:rsid w:val="00712EF4"/>
    <w:rsid w:val="00723F7E"/>
    <w:rsid w:val="00743C89"/>
    <w:rsid w:val="00755593"/>
    <w:rsid w:val="00776B98"/>
    <w:rsid w:val="007A3412"/>
    <w:rsid w:val="007A3998"/>
    <w:rsid w:val="007F20C4"/>
    <w:rsid w:val="0080764A"/>
    <w:rsid w:val="00817DA0"/>
    <w:rsid w:val="0082258A"/>
    <w:rsid w:val="00837DE9"/>
    <w:rsid w:val="008450F5"/>
    <w:rsid w:val="008513B0"/>
    <w:rsid w:val="0085342B"/>
    <w:rsid w:val="00853E18"/>
    <w:rsid w:val="00857B62"/>
    <w:rsid w:val="008948E6"/>
    <w:rsid w:val="008C2D33"/>
    <w:rsid w:val="008C5D38"/>
    <w:rsid w:val="008C6C4A"/>
    <w:rsid w:val="008E227B"/>
    <w:rsid w:val="008E5502"/>
    <w:rsid w:val="008F71CD"/>
    <w:rsid w:val="008F75F5"/>
    <w:rsid w:val="0090584B"/>
    <w:rsid w:val="00911A34"/>
    <w:rsid w:val="0095051F"/>
    <w:rsid w:val="009635C0"/>
    <w:rsid w:val="00972106"/>
    <w:rsid w:val="009F574C"/>
    <w:rsid w:val="009F5F8A"/>
    <w:rsid w:val="00A02A89"/>
    <w:rsid w:val="00A16FAE"/>
    <w:rsid w:val="00A630E6"/>
    <w:rsid w:val="00A6604F"/>
    <w:rsid w:val="00A87A21"/>
    <w:rsid w:val="00AC5318"/>
    <w:rsid w:val="00AE0D9C"/>
    <w:rsid w:val="00AF42A2"/>
    <w:rsid w:val="00B271BA"/>
    <w:rsid w:val="00B4459B"/>
    <w:rsid w:val="00B47DD7"/>
    <w:rsid w:val="00B63724"/>
    <w:rsid w:val="00B64B50"/>
    <w:rsid w:val="00B96867"/>
    <w:rsid w:val="00BA7778"/>
    <w:rsid w:val="00BD11C9"/>
    <w:rsid w:val="00BF7540"/>
    <w:rsid w:val="00C008EF"/>
    <w:rsid w:val="00C20552"/>
    <w:rsid w:val="00C242FE"/>
    <w:rsid w:val="00C74D39"/>
    <w:rsid w:val="00C768B3"/>
    <w:rsid w:val="00CB541E"/>
    <w:rsid w:val="00CC5CCA"/>
    <w:rsid w:val="00CF4097"/>
    <w:rsid w:val="00D03101"/>
    <w:rsid w:val="00D2481E"/>
    <w:rsid w:val="00D27268"/>
    <w:rsid w:val="00D406B2"/>
    <w:rsid w:val="00D438DB"/>
    <w:rsid w:val="00D47D0F"/>
    <w:rsid w:val="00D548E3"/>
    <w:rsid w:val="00D82180"/>
    <w:rsid w:val="00D843DC"/>
    <w:rsid w:val="00DA5A3B"/>
    <w:rsid w:val="00DC2E1E"/>
    <w:rsid w:val="00DC3A52"/>
    <w:rsid w:val="00DD5758"/>
    <w:rsid w:val="00DE67C4"/>
    <w:rsid w:val="00DE763B"/>
    <w:rsid w:val="00E02E2B"/>
    <w:rsid w:val="00E10693"/>
    <w:rsid w:val="00E1401F"/>
    <w:rsid w:val="00E30725"/>
    <w:rsid w:val="00E7682F"/>
    <w:rsid w:val="00E80383"/>
    <w:rsid w:val="00E95977"/>
    <w:rsid w:val="00EE1E04"/>
    <w:rsid w:val="00EF2510"/>
    <w:rsid w:val="00EF2D6A"/>
    <w:rsid w:val="00EF7E90"/>
    <w:rsid w:val="00F04087"/>
    <w:rsid w:val="00F20921"/>
    <w:rsid w:val="00F24F32"/>
    <w:rsid w:val="00F57AD3"/>
    <w:rsid w:val="00F70C9A"/>
    <w:rsid w:val="00F82E77"/>
    <w:rsid w:val="00FC31DD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D8D63"/>
  <w15:chartTrackingRefBased/>
  <w15:docId w15:val="{BA72EE7F-39AE-41BD-A4D5-F880D230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57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D5A"/>
  </w:style>
  <w:style w:type="paragraph" w:styleId="Footer">
    <w:name w:val="footer"/>
    <w:basedOn w:val="Normal"/>
    <w:link w:val="FooterChar"/>
    <w:uiPriority w:val="99"/>
    <w:unhideWhenUsed/>
    <w:rsid w:val="00595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D5A"/>
  </w:style>
  <w:style w:type="character" w:styleId="Hyperlink">
    <w:name w:val="Hyperlink"/>
    <w:basedOn w:val="DefaultParagraphFont"/>
    <w:uiPriority w:val="99"/>
    <w:unhideWhenUsed/>
    <w:rsid w:val="00595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D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85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57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57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3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78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arteredlab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F6F4-F96C-4E57-9CC6-044BA980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 sharma</dc:creator>
  <cp:keywords/>
  <dc:description/>
  <cp:lastModifiedBy>vineet sharma</cp:lastModifiedBy>
  <cp:revision>71</cp:revision>
  <dcterms:created xsi:type="dcterms:W3CDTF">2021-07-05T05:55:00Z</dcterms:created>
  <dcterms:modified xsi:type="dcterms:W3CDTF">2024-03-24T13:02:00Z</dcterms:modified>
</cp:coreProperties>
</file>